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b381-7"/>
    <w:p>
      <w:pPr>
        <w:pStyle w:val="Heading4"/>
      </w:pPr>
      <w:r>
        <w:t xml:space="preserve">Hoppe</w:t>
      </w:r>
      <w:r>
        <w:t xml:space="preserve"> </w:t>
      </w:r>
      <w:r>
        <w:rPr>
          <w:i/>
          <w:iCs/>
        </w:rPr>
        <w:t xml:space="preserve">vs.</w:t>
      </w:r>
      <w:r>
        <w:t xml:space="preserve"> </w:t>
      </w:r>
      <w:r>
        <w:t xml:space="preserve">Robb.</w:t>
      </w:r>
    </w:p>
    <w:p>
      <w:pPr>
        <w:pStyle w:val="FirstParagraph"/>
      </w:pPr>
      <w:r>
        <w:t xml:space="preserve">Where there is conflicting evidence upon a point submitted to, and passed upon by a ‘jury, their verdict will not be disturbed •, and the same rule applies where a question of fact is submitted to the</w:t>
      </w:r>
      <w:r>
        <w:t xml:space="preserve"> </w:t>
      </w:r>
      <w:r>
        <w:rPr>
          <w:i/>
          <w:iCs/>
        </w:rPr>
        <w:t xml:space="preserve">court without a jury.</w:t>
      </w:r>
    </w:p>
    <w:p>
      <w:pPr>
        <w:pStyle w:val="BodyText"/>
      </w:pPr>
      <w:r>
        <w:t xml:space="preserve">Appeal from the district court of the sixth judicial district.</w:t>
      </w:r>
    </w:p>
    <w:p>
      <w:pPr>
        <w:pStyle w:val="BodyText"/>
      </w:pPr>
      <w:r>
        <w:rPr>
          <w:i/>
          <w:iCs/>
        </w:rPr>
        <w:t xml:space="preserve">Mr.</w:t>
      </w:r>
      <w:r>
        <w:t xml:space="preserve"> </w:t>
      </w:r>
      <w:r>
        <w:t xml:space="preserve">Sandford, for plaintiff.</w:t>
      </w:r>
    </w:p>
    <w:p>
      <w:pPr>
        <w:pStyle w:val="BodyText"/>
      </w:pPr>
      <w:r>
        <w:rPr>
          <w:i/>
          <w:iCs/>
        </w:rPr>
        <w:t xml:space="preserve">Mr.</w:t>
      </w:r>
      <w:r>
        <w:t xml:space="preserve"> </w:t>
      </w:r>
      <w:r>
        <w:t xml:space="preserve">Tingley, for defendant.</w:t>
      </w:r>
    </w:p>
    <w:bookmarkEnd w:id="20"/>
    <w:p>
      <w:pPr>
        <w:pStyle w:val="BodyText"/>
      </w:pPr>
      <w:r>
        <w:rPr>
          <w:i/>
          <w:iCs/>
        </w:rPr>
        <w:t xml:space="preserve">By the</w:t>
      </w:r>
      <w:r>
        <w:t xml:space="preserve"> </w:t>
      </w:r>
      <w:r>
        <w:t xml:space="preserve">Court,</w:t>
      </w:r>
    </w:p>
    <w:p>
      <w:pPr>
        <w:pStyle w:val="BodyText"/>
      </w:pPr>
      <w:r>
        <w:t xml:space="preserve">BeNNett, J.</w:t>
      </w:r>
    </w:p>
    <w:p>
      <w:pPr>
        <w:pStyle w:val="BodyText"/>
      </w:pPr>
      <w:r>
        <w:t xml:space="preserve">The action was for money loaned. The question for determination at the trial was whether the money was advanced as a loan, or by way of subscription for the purpose of establishing a newspaper at San José. There was conflicting evidence upon this point, and the judge of the district court found that the money was advanced as a subscription.</w:t>
      </w:r>
    </w:p>
    <w:p>
      <w:pPr>
        <w:pStyle w:val="BodyText"/>
      </w:pPr>
      <w:hyperlink w:anchor="p374">
        <w:r>
          <w:rPr>
            <w:rStyle w:val="Hyperlink"/>
          </w:rPr>
          <w:t xml:space="preserve">*374</w:t>
        </w:r>
      </w:hyperlink>
      <w:r>
        <w:t xml:space="preserve">"We bare frequently held that we would not review the verdict of a jury upon a question of fact, where there was conflicting or contradictory evidence, upon which the verdict was based. The same rule applies to the finding of a judge, to whom a question of fact is submitted, and upon which he has passed. The j udgme-nt in this cause must, therefore, be affirmed.</w:t>
      </w:r>
    </w:p>
    <w:p>
      <w:pPr>
        <w:pStyle w:val="BodyText"/>
      </w:pPr>
      <w:r>
        <w:t xml:space="preserve">Ordered accordingly.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2025-03-01T23:17:30Z</dcterms:created>
  <dcterms:modified xsi:type="dcterms:W3CDTF">2025-03-01T23:17:30Z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